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1. Расчет потребности в кадрах</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Данный расчет призван решить такие управленческие задачи:</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выявить, действительно ли необходимо расширять штат, и принимать нового сотрудника для разделения обязанностей с уже работающим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определить необходимую численность рабочих и их профессиональный и квалификационный состав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Расчет численности персонала может быть текущим или оперативным и долговременным или перспективным.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1. Текущая потребность в персонале</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Общая потребность предприятия в кадрах А определяется как сумма: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А = Ч + ДП,</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где Ч — базовая потребность в кадрах, определяемая объемом производства;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ДП — дополнительная потребность в кадрах.</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2. Базовая потребность предприятия в кадрах</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Ч = ОП / 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где ОП — объем производства;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В — выработка на одного работающего.</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Более конкретные расчеты, как правило, производятся отдельно по следующим категориям: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рабочие-сдельщики (с учетом трудоемкости продукции, фонда рабочего времени, уровня выполнения норм);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рабочие-повременщики (с учетом закрепленных зон и трудоемкости работы, норм численности персонала, трудоемкости нормированных заданий, фонда рабочего времени);</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ученики (с учетом потребности в подготовке новых рабочих и плановых сроков обучения);</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обслуживающий персонал (ориентируясь на типовые нормы и штатное расписание);</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руководящий персонал (определяется исходя из норм управляемости).</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3. Дополнительная потребность предприятия в кадрах</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Дополнительная потребность в кадрах (ДП) — это различие между общей потребностью и наличием персонала на начало расчетного периода. При расчете дополнительной потребности учитываются:</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1) развитие предприятия (научно обоснованное определение прироста должностей в связи с увеличением производства)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ДП = </w:t>
      </w:r>
      <w:proofErr w:type="spellStart"/>
      <w:r w:rsidRPr="002D0B07">
        <w:rPr>
          <w:rFonts w:ascii="Times New Roman" w:hAnsi="Times New Roman" w:cs="Times New Roman"/>
          <w:sz w:val="28"/>
          <w:szCs w:val="28"/>
        </w:rPr>
        <w:t>Апл</w:t>
      </w:r>
      <w:proofErr w:type="spellEnd"/>
      <w:r w:rsidRPr="002D0B07">
        <w:rPr>
          <w:rFonts w:ascii="Times New Roman" w:hAnsi="Times New Roman" w:cs="Times New Roman"/>
          <w:sz w:val="28"/>
          <w:szCs w:val="28"/>
        </w:rPr>
        <w:t xml:space="preserve"> — Абаз</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где </w:t>
      </w:r>
      <w:proofErr w:type="spellStart"/>
      <w:r w:rsidRPr="002D0B07">
        <w:rPr>
          <w:rFonts w:ascii="Times New Roman" w:hAnsi="Times New Roman" w:cs="Times New Roman"/>
          <w:sz w:val="28"/>
          <w:szCs w:val="28"/>
        </w:rPr>
        <w:t>Апл</w:t>
      </w:r>
      <w:proofErr w:type="spellEnd"/>
      <w:r w:rsidRPr="002D0B07">
        <w:rPr>
          <w:rFonts w:ascii="Times New Roman" w:hAnsi="Times New Roman" w:cs="Times New Roman"/>
          <w:sz w:val="28"/>
          <w:szCs w:val="28"/>
        </w:rPr>
        <w:t xml:space="preserve"> и Абаз — общая потребность в специалистах в планируемый и базовый периоды;</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2) частичная замена практиков, временно занимающих должности специалистов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ДП = </w:t>
      </w:r>
      <w:proofErr w:type="spellStart"/>
      <w:r w:rsidRPr="002D0B07">
        <w:rPr>
          <w:rFonts w:ascii="Times New Roman" w:hAnsi="Times New Roman" w:cs="Times New Roman"/>
          <w:sz w:val="28"/>
          <w:szCs w:val="28"/>
        </w:rPr>
        <w:t>Апл</w:t>
      </w:r>
      <w:proofErr w:type="spellEnd"/>
      <w:r w:rsidRPr="002D0B07">
        <w:rPr>
          <w:rFonts w:ascii="Times New Roman" w:hAnsi="Times New Roman" w:cs="Times New Roman"/>
          <w:sz w:val="28"/>
          <w:szCs w:val="28"/>
        </w:rPr>
        <w:t xml:space="preserve"> х </w:t>
      </w:r>
      <w:proofErr w:type="spellStart"/>
      <w:proofErr w:type="gramStart"/>
      <w:r w:rsidRPr="002D0B07">
        <w:rPr>
          <w:rFonts w:ascii="Times New Roman" w:hAnsi="Times New Roman" w:cs="Times New Roman"/>
          <w:sz w:val="28"/>
          <w:szCs w:val="28"/>
        </w:rPr>
        <w:t>Кв</w:t>
      </w:r>
      <w:proofErr w:type="spellEnd"/>
      <w:r w:rsidRPr="002D0B07">
        <w:rPr>
          <w:rFonts w:ascii="Times New Roman" w:hAnsi="Times New Roman" w:cs="Times New Roman"/>
          <w:sz w:val="28"/>
          <w:szCs w:val="28"/>
        </w:rPr>
        <w:t xml:space="preserve"> ,</w:t>
      </w:r>
      <w:proofErr w:type="gramEnd"/>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где </w:t>
      </w:r>
      <w:proofErr w:type="spellStart"/>
      <w:r w:rsidRPr="002D0B07">
        <w:rPr>
          <w:rFonts w:ascii="Times New Roman" w:hAnsi="Times New Roman" w:cs="Times New Roman"/>
          <w:sz w:val="28"/>
          <w:szCs w:val="28"/>
        </w:rPr>
        <w:t>Кв</w:t>
      </w:r>
      <w:proofErr w:type="spellEnd"/>
      <w:r w:rsidRPr="002D0B07">
        <w:rPr>
          <w:rFonts w:ascii="Times New Roman" w:hAnsi="Times New Roman" w:cs="Times New Roman"/>
          <w:sz w:val="28"/>
          <w:szCs w:val="28"/>
        </w:rPr>
        <w:t xml:space="preserve"> — коэффициент выбытия специалистов (практика показывает, что это 2 — 4 % от общей численности в год);</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lastRenderedPageBreak/>
        <w:t>3) возмещение естественного выбытия работников, занимающих должности специалистов и руководителей (оценка демографических показателей кадрового состава, учет смертности, ...);</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4) вакантные должности, исходя из утвержденных штатов, ожидаемого выбытия работников.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3. Долговременная потребность предприятия в кадрах</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Этот расчет осуществляется при планировании на период более трех лет.</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При определении потребности в специалистах на перспективу и отсутствии детальных планов развития отрасли применяют метод расчета исходя из коэффициента насыщенности специалистами, который исчисляется как отношение числа специалистов к объему производства.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С учетом этого показателя потребность в специалистах будет выглядеть следующим образом: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А = </w:t>
      </w:r>
      <w:proofErr w:type="spellStart"/>
      <w:r w:rsidRPr="002D0B07">
        <w:rPr>
          <w:rFonts w:ascii="Times New Roman" w:hAnsi="Times New Roman" w:cs="Times New Roman"/>
          <w:sz w:val="28"/>
          <w:szCs w:val="28"/>
        </w:rPr>
        <w:t>Чр</w:t>
      </w:r>
      <w:proofErr w:type="spellEnd"/>
      <w:r w:rsidRPr="002D0B07">
        <w:rPr>
          <w:rFonts w:ascii="Times New Roman" w:hAnsi="Times New Roman" w:cs="Times New Roman"/>
          <w:sz w:val="28"/>
          <w:szCs w:val="28"/>
        </w:rPr>
        <w:t xml:space="preserve"> х </w:t>
      </w:r>
      <w:proofErr w:type="spellStart"/>
      <w:r w:rsidRPr="002D0B07">
        <w:rPr>
          <w:rFonts w:ascii="Times New Roman" w:hAnsi="Times New Roman" w:cs="Times New Roman"/>
          <w:sz w:val="28"/>
          <w:szCs w:val="28"/>
        </w:rPr>
        <w:t>Кн</w:t>
      </w:r>
      <w:proofErr w:type="spellEnd"/>
      <w:r w:rsidRPr="002D0B07">
        <w:rPr>
          <w:rFonts w:ascii="Times New Roman" w:hAnsi="Times New Roman" w:cs="Times New Roman"/>
          <w:sz w:val="28"/>
          <w:szCs w:val="28"/>
        </w:rPr>
        <w:t>,</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где </w:t>
      </w:r>
      <w:proofErr w:type="spellStart"/>
      <w:r w:rsidRPr="002D0B07">
        <w:rPr>
          <w:rFonts w:ascii="Times New Roman" w:hAnsi="Times New Roman" w:cs="Times New Roman"/>
          <w:sz w:val="28"/>
          <w:szCs w:val="28"/>
        </w:rPr>
        <w:t>Чр</w:t>
      </w:r>
      <w:proofErr w:type="spellEnd"/>
      <w:r w:rsidRPr="002D0B07">
        <w:rPr>
          <w:rFonts w:ascii="Times New Roman" w:hAnsi="Times New Roman" w:cs="Times New Roman"/>
          <w:sz w:val="28"/>
          <w:szCs w:val="28"/>
        </w:rPr>
        <w:t xml:space="preserve"> — среднесписочная численность работающих;</w:t>
      </w:r>
    </w:p>
    <w:p w:rsidR="002D0B07" w:rsidRPr="002D0B07" w:rsidRDefault="002D0B07" w:rsidP="002D0B07">
      <w:pPr>
        <w:spacing w:after="0" w:line="240" w:lineRule="auto"/>
        <w:jc w:val="both"/>
        <w:rPr>
          <w:rFonts w:ascii="Times New Roman" w:hAnsi="Times New Roman" w:cs="Times New Roman"/>
          <w:sz w:val="28"/>
          <w:szCs w:val="28"/>
        </w:rPr>
      </w:pPr>
      <w:proofErr w:type="spellStart"/>
      <w:r w:rsidRPr="002D0B07">
        <w:rPr>
          <w:rFonts w:ascii="Times New Roman" w:hAnsi="Times New Roman" w:cs="Times New Roman"/>
          <w:sz w:val="28"/>
          <w:szCs w:val="28"/>
        </w:rPr>
        <w:t>Кн</w:t>
      </w:r>
      <w:proofErr w:type="spellEnd"/>
      <w:r w:rsidRPr="002D0B07">
        <w:rPr>
          <w:rFonts w:ascii="Times New Roman" w:hAnsi="Times New Roman" w:cs="Times New Roman"/>
          <w:sz w:val="28"/>
          <w:szCs w:val="28"/>
        </w:rPr>
        <w:t xml:space="preserve"> — нормативный коэффициент насыщенности специалистами.</w:t>
      </w:r>
    </w:p>
    <w:p w:rsidR="002D0B07" w:rsidRPr="002D0B07" w:rsidRDefault="002D0B07" w:rsidP="002D0B07">
      <w:pPr>
        <w:spacing w:after="0" w:line="240" w:lineRule="auto"/>
        <w:jc w:val="both"/>
        <w:rPr>
          <w:rFonts w:ascii="Times New Roman" w:hAnsi="Times New Roman" w:cs="Times New Roman"/>
          <w:sz w:val="28"/>
          <w:szCs w:val="28"/>
        </w:rPr>
      </w:pP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2. Оценка эффективности инвестиционных решений и проектов: метод внутренней нормы доходности проекта</w:t>
      </w:r>
    </w:p>
    <w:p w:rsidR="002D0B07" w:rsidRPr="002D0B07" w:rsidRDefault="002D0B07" w:rsidP="002D0B07">
      <w:pPr>
        <w:spacing w:after="0" w:line="240" w:lineRule="auto"/>
        <w:jc w:val="both"/>
        <w:rPr>
          <w:rFonts w:ascii="Times New Roman" w:hAnsi="Times New Roman" w:cs="Times New Roman"/>
          <w:sz w:val="28"/>
          <w:szCs w:val="28"/>
        </w:rPr>
      </w:pPr>
      <w:proofErr w:type="gramStart"/>
      <w:r w:rsidRPr="002D0B07">
        <w:rPr>
          <w:rFonts w:ascii="Times New Roman" w:hAnsi="Times New Roman" w:cs="Times New Roman"/>
          <w:sz w:val="28"/>
          <w:szCs w:val="28"/>
        </w:rPr>
        <w:t>Внутренняя норма прибыли-это</w:t>
      </w:r>
      <w:proofErr w:type="gramEnd"/>
      <w:r w:rsidRPr="002D0B07">
        <w:rPr>
          <w:rFonts w:ascii="Times New Roman" w:hAnsi="Times New Roman" w:cs="Times New Roman"/>
          <w:sz w:val="28"/>
          <w:szCs w:val="28"/>
        </w:rPr>
        <w:t xml:space="preserve"> показатель, используемый в финансовом анализе для оценки прибыльности потенциальных инвестиций. </w:t>
      </w:r>
      <w:proofErr w:type="gramStart"/>
      <w:r w:rsidRPr="002D0B07">
        <w:rPr>
          <w:rFonts w:ascii="Times New Roman" w:hAnsi="Times New Roman" w:cs="Times New Roman"/>
          <w:sz w:val="28"/>
          <w:szCs w:val="28"/>
        </w:rPr>
        <w:t>Внутренняя норма прибыли-это</w:t>
      </w:r>
      <w:proofErr w:type="gramEnd"/>
      <w:r w:rsidRPr="002D0B07">
        <w:rPr>
          <w:rFonts w:ascii="Times New Roman" w:hAnsi="Times New Roman" w:cs="Times New Roman"/>
          <w:sz w:val="28"/>
          <w:szCs w:val="28"/>
        </w:rPr>
        <w:t xml:space="preserve"> ставка дисконтирования, которая делает чистую приведенную стоимость (NPV) всех денежных потоков равной нулю при анализе дисконтированных денежных потоков. Расчеты IRR основаны на той же формуле, что и NPV.</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Чтобы рассчитать IRR по формуле, нужно установить NPV равным нулю и решить для ставки дисконтирования, которая и есть IRR. Однако из-за природы формулы IRR не может быть легко вычислен аналитически и поэтому вместо этого должен быть вычислен либо методом проб и ошибок, либо с помощью программного обеспечения, запрограммированного для вычисления IRR. Это можно сделать в </w:t>
      </w:r>
      <w:proofErr w:type="spellStart"/>
      <w:r w:rsidRPr="002D0B07">
        <w:rPr>
          <w:rFonts w:ascii="Times New Roman" w:hAnsi="Times New Roman" w:cs="Times New Roman"/>
          <w:sz w:val="28"/>
          <w:szCs w:val="28"/>
        </w:rPr>
        <w:t>Excel</w:t>
      </w:r>
      <w:proofErr w:type="spellEnd"/>
      <w:r w:rsidRPr="002D0B07">
        <w:rPr>
          <w:rFonts w:ascii="Times New Roman" w:hAnsi="Times New Roman" w:cs="Times New Roman"/>
          <w:sz w:val="28"/>
          <w:szCs w:val="28"/>
        </w:rPr>
        <w:t>.</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Вообще говоря, чем выше внутренняя норма прибыли, тем более желательны инвестиции. IRR является единым для инвестиций различных типов и, как таковой, IRR может использоваться для ранжирования нескольких перспективных инвестиций или проектов на относительно равномерной основе. В целом, при сравнении инвестиционных вариантов инвестиции с самым высоким IRR, вероятно, будут считаться лучшими.</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Формула и расчет, используемые для определения этого показателя, выглядят следующим образом.</w:t>
      </w:r>
    </w:p>
    <w:p w:rsidR="002D0B07" w:rsidRPr="002D0B07" w:rsidRDefault="002D0B07" w:rsidP="002D0B07">
      <w:pPr>
        <w:spacing w:after="0" w:line="240" w:lineRule="auto"/>
        <w:jc w:val="both"/>
        <w:rPr>
          <w:rStyle w:val="vlist-s"/>
          <w:rFonts w:ascii="Times New Roman" w:hAnsi="Times New Roman" w:cs="Times New Roman"/>
          <w:color w:val="111111"/>
          <w:sz w:val="28"/>
          <w:szCs w:val="28"/>
          <w:shd w:val="clear" w:color="auto" w:fill="FFFFFF"/>
          <w:lang w:val="en-US"/>
        </w:rPr>
      </w:pPr>
      <w:r w:rsidRPr="002D0B07">
        <w:rPr>
          <w:rStyle w:val="mord"/>
          <w:rFonts w:ascii="Times New Roman" w:hAnsi="Times New Roman" w:cs="Times New Roman"/>
          <w:color w:val="111111"/>
          <w:sz w:val="28"/>
          <w:szCs w:val="28"/>
          <w:shd w:val="clear" w:color="auto" w:fill="FFFFFF"/>
          <w:lang w:val="en-US"/>
        </w:rPr>
        <w:t>0</w:t>
      </w:r>
      <w:r w:rsidRPr="002D0B07">
        <w:rPr>
          <w:rStyle w:val="mrel"/>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color w:val="111111"/>
          <w:sz w:val="28"/>
          <w:szCs w:val="28"/>
          <w:shd w:val="clear" w:color="auto" w:fill="FFFFFF"/>
          <w:lang w:val="en-US"/>
        </w:rPr>
        <w:t>NPV</w:t>
      </w:r>
      <w:r w:rsidRPr="002D0B07">
        <w:rPr>
          <w:rStyle w:val="mrel"/>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i/>
          <w:iCs/>
          <w:color w:val="111111"/>
          <w:sz w:val="28"/>
          <w:szCs w:val="28"/>
          <w:shd w:val="clear" w:color="auto" w:fill="FFFFFF"/>
          <w:lang w:val="en-US"/>
        </w:rPr>
        <w:t>t</w:t>
      </w:r>
      <w:r w:rsidRPr="002D0B07">
        <w:rPr>
          <w:rStyle w:val="mrel"/>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color w:val="111111"/>
          <w:sz w:val="28"/>
          <w:szCs w:val="28"/>
          <w:shd w:val="clear" w:color="auto" w:fill="FFFFFF"/>
          <w:lang w:val="en-US"/>
        </w:rPr>
        <w:t>1</w:t>
      </w:r>
      <w:r w:rsidRPr="002D0B07">
        <w:rPr>
          <w:rStyle w:val="mop"/>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i/>
          <w:iCs/>
          <w:color w:val="111111"/>
          <w:sz w:val="28"/>
          <w:szCs w:val="28"/>
          <w:shd w:val="clear" w:color="auto" w:fill="FFFFFF"/>
          <w:lang w:val="en-US"/>
        </w:rPr>
        <w:t>T</w:t>
      </w:r>
      <w:r w:rsidRPr="002D0B07">
        <w:rPr>
          <w:rStyle w:val="vlist-s"/>
          <w:rFonts w:ascii="Times New Roman" w:hAnsi="Times New Roman" w:cs="Times New Roman"/>
          <w:color w:val="111111"/>
          <w:sz w:val="28"/>
          <w:szCs w:val="28"/>
          <w:shd w:val="clear" w:color="auto" w:fill="FFFFFF"/>
          <w:lang w:val="en-US"/>
        </w:rPr>
        <w:t>​</w:t>
      </w:r>
      <w:r w:rsidRPr="002D0B07">
        <w:rPr>
          <w:rStyle w:val="mopen"/>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color w:val="111111"/>
          <w:sz w:val="28"/>
          <w:szCs w:val="28"/>
          <w:shd w:val="clear" w:color="auto" w:fill="FFFFFF"/>
          <w:lang w:val="en-US"/>
        </w:rPr>
        <w:t>1</w:t>
      </w:r>
      <w:r w:rsidRPr="002D0B07">
        <w:rPr>
          <w:rStyle w:val="mbin"/>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i/>
          <w:iCs/>
          <w:color w:val="111111"/>
          <w:sz w:val="28"/>
          <w:szCs w:val="28"/>
          <w:shd w:val="clear" w:color="auto" w:fill="FFFFFF"/>
          <w:lang w:val="en-US"/>
        </w:rPr>
        <w:t>IRR</w:t>
      </w:r>
      <w:proofErr w:type="gramStart"/>
      <w:r w:rsidRPr="002D0B07">
        <w:rPr>
          <w:rStyle w:val="mclose"/>
          <w:rFonts w:ascii="Times New Roman" w:hAnsi="Times New Roman" w:cs="Times New Roman"/>
          <w:color w:val="111111"/>
          <w:sz w:val="28"/>
          <w:szCs w:val="28"/>
          <w:shd w:val="clear" w:color="auto" w:fill="FFFFFF"/>
          <w:lang w:val="en-US"/>
        </w:rPr>
        <w:t>)</w:t>
      </w:r>
      <w:proofErr w:type="spellStart"/>
      <w:r w:rsidRPr="002D0B07">
        <w:rPr>
          <w:rStyle w:val="mord"/>
          <w:rFonts w:ascii="Times New Roman" w:hAnsi="Times New Roman" w:cs="Times New Roman"/>
          <w:i/>
          <w:iCs/>
          <w:color w:val="111111"/>
          <w:sz w:val="28"/>
          <w:szCs w:val="28"/>
          <w:shd w:val="clear" w:color="auto" w:fill="FFFFFF"/>
          <w:lang w:val="en-US"/>
        </w:rPr>
        <w:t>tCt</w:t>
      </w:r>
      <w:proofErr w:type="spellEnd"/>
      <w:proofErr w:type="gramEnd"/>
      <w:r w:rsidRPr="002D0B07">
        <w:rPr>
          <w:rStyle w:val="vlist-s"/>
          <w:rFonts w:ascii="Times New Roman" w:hAnsi="Times New Roman" w:cs="Times New Roman"/>
          <w:color w:val="111111"/>
          <w:sz w:val="28"/>
          <w:szCs w:val="28"/>
          <w:shd w:val="clear" w:color="auto" w:fill="FFFFFF"/>
          <w:lang w:val="en-US"/>
        </w:rPr>
        <w:t>​​</w:t>
      </w:r>
      <w:r w:rsidRPr="002D0B07">
        <w:rPr>
          <w:rStyle w:val="mbin"/>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i/>
          <w:iCs/>
          <w:color w:val="111111"/>
          <w:sz w:val="28"/>
          <w:szCs w:val="28"/>
          <w:shd w:val="clear" w:color="auto" w:fill="FFFFFF"/>
          <w:lang w:val="en-US"/>
        </w:rPr>
        <w:t>C</w:t>
      </w:r>
      <w:r w:rsidRPr="002D0B07">
        <w:rPr>
          <w:rStyle w:val="mord"/>
          <w:rFonts w:ascii="Times New Roman" w:hAnsi="Times New Roman" w:cs="Times New Roman"/>
          <w:color w:val="111111"/>
          <w:sz w:val="28"/>
          <w:szCs w:val="28"/>
          <w:shd w:val="clear" w:color="auto" w:fill="FFFFFF"/>
          <w:lang w:val="en-US"/>
        </w:rPr>
        <w:t>0</w:t>
      </w:r>
      <w:r w:rsidRPr="002D0B07">
        <w:rPr>
          <w:rStyle w:val="vlist-s"/>
          <w:rFonts w:ascii="Times New Roman" w:hAnsi="Times New Roman" w:cs="Times New Roman"/>
          <w:color w:val="111111"/>
          <w:sz w:val="28"/>
          <w:szCs w:val="28"/>
          <w:shd w:val="clear" w:color="auto" w:fill="FFFFFF"/>
          <w:lang w:val="en-US"/>
        </w:rPr>
        <w:t>​</w:t>
      </w:r>
    </w:p>
    <w:p w:rsidR="002D0B07" w:rsidRPr="002D0B07" w:rsidRDefault="002D0B07" w:rsidP="002D0B07">
      <w:pPr>
        <w:spacing w:after="0" w:line="240" w:lineRule="auto"/>
        <w:jc w:val="both"/>
        <w:rPr>
          <w:rStyle w:val="mord"/>
          <w:rFonts w:ascii="Times New Roman" w:hAnsi="Times New Roman" w:cs="Times New Roman"/>
          <w:b/>
          <w:bCs/>
          <w:color w:val="111111"/>
          <w:sz w:val="28"/>
          <w:szCs w:val="28"/>
          <w:shd w:val="clear" w:color="auto" w:fill="FFFFFF"/>
          <w:lang w:val="en-US"/>
        </w:rPr>
      </w:pPr>
      <w:proofErr w:type="gramStart"/>
      <w:r w:rsidRPr="002D0B07">
        <w:rPr>
          <w:rStyle w:val="mord"/>
          <w:rFonts w:ascii="Times New Roman" w:hAnsi="Times New Roman" w:cs="Times New Roman"/>
          <w:b/>
          <w:bCs/>
          <w:color w:val="111111"/>
          <w:sz w:val="28"/>
          <w:szCs w:val="28"/>
          <w:shd w:val="clear" w:color="auto" w:fill="FFFFFF"/>
          <w:lang w:val="en-US"/>
        </w:rPr>
        <w:t>where</w:t>
      </w:r>
      <w:proofErr w:type="gramEnd"/>
      <w:r w:rsidRPr="002D0B07">
        <w:rPr>
          <w:rStyle w:val="mord"/>
          <w:rFonts w:ascii="Times New Roman" w:hAnsi="Times New Roman" w:cs="Times New Roman"/>
          <w:b/>
          <w:bCs/>
          <w:color w:val="111111"/>
          <w:sz w:val="28"/>
          <w:szCs w:val="28"/>
          <w:shd w:val="clear" w:color="auto" w:fill="FFFFFF"/>
          <w:lang w:val="en-US"/>
        </w:rPr>
        <w:t>:</w:t>
      </w:r>
    </w:p>
    <w:p w:rsidR="002D0B07" w:rsidRPr="002D0B07" w:rsidRDefault="002D0B07" w:rsidP="002D0B07">
      <w:pPr>
        <w:spacing w:after="0" w:line="240" w:lineRule="auto"/>
        <w:jc w:val="both"/>
        <w:rPr>
          <w:rStyle w:val="mord"/>
          <w:rFonts w:ascii="Times New Roman" w:hAnsi="Times New Roman" w:cs="Times New Roman"/>
          <w:color w:val="111111"/>
          <w:sz w:val="28"/>
          <w:szCs w:val="28"/>
          <w:shd w:val="clear" w:color="auto" w:fill="FFFFFF"/>
          <w:lang w:val="en-US"/>
        </w:rPr>
      </w:pPr>
      <w:r w:rsidRPr="002D0B07">
        <w:rPr>
          <w:rStyle w:val="mord"/>
          <w:rFonts w:ascii="Times New Roman" w:hAnsi="Times New Roman" w:cs="Times New Roman"/>
          <w:i/>
          <w:iCs/>
          <w:color w:val="111111"/>
          <w:sz w:val="28"/>
          <w:szCs w:val="28"/>
          <w:shd w:val="clear" w:color="auto" w:fill="FFFFFF"/>
          <w:lang w:val="en-US"/>
        </w:rPr>
        <w:t>Ct</w:t>
      </w:r>
      <w:r w:rsidRPr="002D0B07">
        <w:rPr>
          <w:rStyle w:val="vlist-s"/>
          <w:rFonts w:ascii="Times New Roman" w:hAnsi="Times New Roman" w:cs="Times New Roman"/>
          <w:color w:val="111111"/>
          <w:sz w:val="28"/>
          <w:szCs w:val="28"/>
          <w:shd w:val="clear" w:color="auto" w:fill="FFFFFF"/>
          <w:lang w:val="en-US"/>
        </w:rPr>
        <w:t>​</w:t>
      </w:r>
      <w:r w:rsidRPr="002D0B07">
        <w:rPr>
          <w:rStyle w:val="mrel"/>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color w:val="111111"/>
          <w:sz w:val="28"/>
          <w:szCs w:val="28"/>
          <w:shd w:val="clear" w:color="auto" w:fill="FFFFFF"/>
          <w:lang w:val="en-US"/>
        </w:rPr>
        <w:t>Net cash inflow during the period t</w:t>
      </w:r>
    </w:p>
    <w:p w:rsidR="002D0B07" w:rsidRPr="002D0B07" w:rsidRDefault="002D0B07" w:rsidP="002D0B07">
      <w:pPr>
        <w:spacing w:after="0" w:line="240" w:lineRule="auto"/>
        <w:jc w:val="both"/>
        <w:rPr>
          <w:rStyle w:val="mord"/>
          <w:rFonts w:ascii="Times New Roman" w:hAnsi="Times New Roman" w:cs="Times New Roman"/>
          <w:color w:val="111111"/>
          <w:sz w:val="28"/>
          <w:szCs w:val="28"/>
          <w:shd w:val="clear" w:color="auto" w:fill="FFFFFF"/>
          <w:lang w:val="en-US"/>
        </w:rPr>
      </w:pPr>
      <w:r w:rsidRPr="002D0B07">
        <w:rPr>
          <w:rStyle w:val="mord"/>
          <w:rFonts w:ascii="Times New Roman" w:hAnsi="Times New Roman" w:cs="Times New Roman"/>
          <w:i/>
          <w:iCs/>
          <w:color w:val="111111"/>
          <w:sz w:val="28"/>
          <w:szCs w:val="28"/>
          <w:shd w:val="clear" w:color="auto" w:fill="FFFFFF"/>
          <w:lang w:val="en-US"/>
        </w:rPr>
        <w:t>C</w:t>
      </w:r>
      <w:r w:rsidRPr="002D0B07">
        <w:rPr>
          <w:rStyle w:val="mord"/>
          <w:rFonts w:ascii="Times New Roman" w:hAnsi="Times New Roman" w:cs="Times New Roman"/>
          <w:color w:val="111111"/>
          <w:sz w:val="28"/>
          <w:szCs w:val="28"/>
          <w:shd w:val="clear" w:color="auto" w:fill="FFFFFF"/>
          <w:lang w:val="en-US"/>
        </w:rPr>
        <w:t>0</w:t>
      </w:r>
      <w:r w:rsidRPr="002D0B07">
        <w:rPr>
          <w:rStyle w:val="mrel"/>
          <w:rFonts w:ascii="Times New Roman" w:hAnsi="Times New Roman" w:cs="Times New Roman"/>
          <w:color w:val="111111"/>
          <w:sz w:val="28"/>
          <w:szCs w:val="28"/>
          <w:shd w:val="clear" w:color="auto" w:fill="FFFFFF"/>
          <w:lang w:val="en-US"/>
        </w:rPr>
        <w:t>=</w:t>
      </w:r>
      <w:r w:rsidRPr="002D0B07">
        <w:rPr>
          <w:rStyle w:val="mord"/>
          <w:rFonts w:ascii="Times New Roman" w:hAnsi="Times New Roman" w:cs="Times New Roman"/>
          <w:color w:val="111111"/>
          <w:sz w:val="28"/>
          <w:szCs w:val="28"/>
          <w:shd w:val="clear" w:color="auto" w:fill="FFFFFF"/>
          <w:lang w:val="en-US"/>
        </w:rPr>
        <w:t>Total initial investment costs</w:t>
      </w:r>
    </w:p>
    <w:p w:rsidR="002D0B07" w:rsidRPr="002D0B07" w:rsidRDefault="002D0B07" w:rsidP="002D0B07">
      <w:pPr>
        <w:spacing w:after="0" w:line="240" w:lineRule="auto"/>
        <w:jc w:val="both"/>
        <w:rPr>
          <w:rStyle w:val="mord"/>
          <w:rFonts w:ascii="Times New Roman" w:hAnsi="Times New Roman" w:cs="Times New Roman"/>
          <w:color w:val="111111"/>
          <w:sz w:val="28"/>
          <w:szCs w:val="28"/>
          <w:shd w:val="clear" w:color="auto" w:fill="FFFFFF"/>
          <w:lang w:val="en-US"/>
        </w:rPr>
      </w:pPr>
      <w:r w:rsidRPr="002D0B07">
        <w:rPr>
          <w:rStyle w:val="mord"/>
          <w:rFonts w:ascii="Times New Roman" w:hAnsi="Times New Roman" w:cs="Times New Roman"/>
          <w:i/>
          <w:iCs/>
          <w:color w:val="111111"/>
          <w:sz w:val="28"/>
          <w:szCs w:val="28"/>
          <w:shd w:val="clear" w:color="auto" w:fill="FFFFFF"/>
          <w:lang w:val="en-US"/>
        </w:rPr>
        <w:t>IRR</w:t>
      </w:r>
      <w:r w:rsidRPr="002D0B07">
        <w:rPr>
          <w:rStyle w:val="mrel"/>
          <w:rFonts w:ascii="Times New Roman" w:hAnsi="Times New Roman" w:cs="Times New Roman"/>
          <w:color w:val="111111"/>
          <w:sz w:val="28"/>
          <w:szCs w:val="28"/>
          <w:shd w:val="clear" w:color="auto" w:fill="FFFFFF"/>
          <w:lang w:val="en-US"/>
        </w:rPr>
        <w:t>=</w:t>
      </w:r>
      <w:proofErr w:type="gramStart"/>
      <w:r w:rsidRPr="002D0B07">
        <w:rPr>
          <w:rStyle w:val="mord"/>
          <w:rFonts w:ascii="Times New Roman" w:hAnsi="Times New Roman" w:cs="Times New Roman"/>
          <w:color w:val="111111"/>
          <w:sz w:val="28"/>
          <w:szCs w:val="28"/>
          <w:shd w:val="clear" w:color="auto" w:fill="FFFFFF"/>
          <w:lang w:val="en-US"/>
        </w:rPr>
        <w:t>The</w:t>
      </w:r>
      <w:proofErr w:type="gramEnd"/>
      <w:r w:rsidRPr="002D0B07">
        <w:rPr>
          <w:rStyle w:val="mord"/>
          <w:rFonts w:ascii="Times New Roman" w:hAnsi="Times New Roman" w:cs="Times New Roman"/>
          <w:color w:val="111111"/>
          <w:sz w:val="28"/>
          <w:szCs w:val="28"/>
          <w:shd w:val="clear" w:color="auto" w:fill="FFFFFF"/>
          <w:lang w:val="en-US"/>
        </w:rPr>
        <w:t> internal rate of return</w:t>
      </w:r>
    </w:p>
    <w:p w:rsidR="002D0B07" w:rsidRPr="002D0B07" w:rsidRDefault="002D0B07" w:rsidP="002D0B07">
      <w:pPr>
        <w:spacing w:after="0" w:line="240" w:lineRule="auto"/>
        <w:jc w:val="both"/>
        <w:rPr>
          <w:rStyle w:val="vlist-s"/>
          <w:rFonts w:ascii="Times New Roman" w:hAnsi="Times New Roman" w:cs="Times New Roman"/>
          <w:color w:val="111111"/>
          <w:sz w:val="28"/>
          <w:szCs w:val="28"/>
          <w:shd w:val="clear" w:color="auto" w:fill="FFFFFF"/>
          <w:lang w:val="en-US"/>
        </w:rPr>
      </w:pPr>
      <w:r w:rsidRPr="002D0B07">
        <w:rPr>
          <w:rStyle w:val="mord"/>
          <w:rFonts w:ascii="Times New Roman" w:hAnsi="Times New Roman" w:cs="Times New Roman"/>
          <w:i/>
          <w:iCs/>
          <w:color w:val="111111"/>
          <w:sz w:val="28"/>
          <w:szCs w:val="28"/>
          <w:shd w:val="clear" w:color="auto" w:fill="FFFFFF"/>
          <w:lang w:val="en-US"/>
        </w:rPr>
        <w:t>t</w:t>
      </w:r>
      <w:r w:rsidRPr="002D0B07">
        <w:rPr>
          <w:rStyle w:val="mrel"/>
          <w:rFonts w:ascii="Times New Roman" w:hAnsi="Times New Roman" w:cs="Times New Roman"/>
          <w:color w:val="111111"/>
          <w:sz w:val="28"/>
          <w:szCs w:val="28"/>
          <w:shd w:val="clear" w:color="auto" w:fill="FFFFFF"/>
          <w:lang w:val="en-US"/>
        </w:rPr>
        <w:t>=</w:t>
      </w:r>
      <w:proofErr w:type="gramStart"/>
      <w:r w:rsidRPr="002D0B07">
        <w:rPr>
          <w:rStyle w:val="mord"/>
          <w:rFonts w:ascii="Times New Roman" w:hAnsi="Times New Roman" w:cs="Times New Roman"/>
          <w:color w:val="111111"/>
          <w:sz w:val="28"/>
          <w:szCs w:val="28"/>
          <w:shd w:val="clear" w:color="auto" w:fill="FFFFFF"/>
          <w:lang w:val="en-US"/>
        </w:rPr>
        <w:t>The</w:t>
      </w:r>
      <w:proofErr w:type="gramEnd"/>
      <w:r w:rsidRPr="002D0B07">
        <w:rPr>
          <w:rStyle w:val="mord"/>
          <w:rFonts w:ascii="Times New Roman" w:hAnsi="Times New Roman" w:cs="Times New Roman"/>
          <w:color w:val="111111"/>
          <w:sz w:val="28"/>
          <w:szCs w:val="28"/>
          <w:shd w:val="clear" w:color="auto" w:fill="FFFFFF"/>
          <w:lang w:val="en-US"/>
        </w:rPr>
        <w:t> number of time periods</w:t>
      </w:r>
      <w:r w:rsidRPr="002D0B07">
        <w:rPr>
          <w:rStyle w:val="vlist-s"/>
          <w:rFonts w:ascii="Times New Roman" w:hAnsi="Times New Roman" w:cs="Times New Roman"/>
          <w:color w:val="111111"/>
          <w:sz w:val="28"/>
          <w:szCs w:val="28"/>
          <w:shd w:val="clear" w:color="auto" w:fill="FFFFFF"/>
          <w:lang w:val="en-US"/>
        </w:rPr>
        <w:t>​</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lastRenderedPageBreak/>
        <w:t xml:space="preserve">Одним из преимуществ использования </w:t>
      </w:r>
      <w:r w:rsidRPr="002D0B07">
        <w:rPr>
          <w:rFonts w:ascii="Times New Roman" w:hAnsi="Times New Roman" w:cs="Times New Roman"/>
          <w:sz w:val="28"/>
          <w:szCs w:val="28"/>
          <w:lang w:val="en-US"/>
        </w:rPr>
        <w:t>IRR</w:t>
      </w:r>
      <w:r w:rsidRPr="002D0B07">
        <w:rPr>
          <w:rFonts w:ascii="Times New Roman" w:hAnsi="Times New Roman" w:cs="Times New Roman"/>
          <w:sz w:val="28"/>
          <w:szCs w:val="28"/>
        </w:rPr>
        <w:t xml:space="preserve">, который выражается в процентах, является то, что он нормализует доходность: все понимают, что означает ставка 25% по сравнению с гипотетическим долларовым эквивалентом (способ выражения </w:t>
      </w:r>
      <w:r w:rsidRPr="002D0B07">
        <w:rPr>
          <w:rFonts w:ascii="Times New Roman" w:hAnsi="Times New Roman" w:cs="Times New Roman"/>
          <w:sz w:val="28"/>
          <w:szCs w:val="28"/>
          <w:lang w:val="en-US"/>
        </w:rPr>
        <w:t>NPV</w:t>
      </w:r>
      <w:r w:rsidRPr="002D0B07">
        <w:rPr>
          <w:rFonts w:ascii="Times New Roman" w:hAnsi="Times New Roman" w:cs="Times New Roman"/>
          <w:sz w:val="28"/>
          <w:szCs w:val="28"/>
        </w:rPr>
        <w:t xml:space="preserve">). К сожалению, есть также несколько критических недостатков использования </w:t>
      </w:r>
      <w:r w:rsidRPr="002D0B07">
        <w:rPr>
          <w:rFonts w:ascii="Times New Roman" w:hAnsi="Times New Roman" w:cs="Times New Roman"/>
          <w:sz w:val="28"/>
          <w:szCs w:val="28"/>
          <w:lang w:val="en-US"/>
        </w:rPr>
        <w:t>IRR</w:t>
      </w:r>
      <w:r w:rsidRPr="002D0B07">
        <w:rPr>
          <w:rFonts w:ascii="Times New Roman" w:hAnsi="Times New Roman" w:cs="Times New Roman"/>
          <w:sz w:val="28"/>
          <w:szCs w:val="28"/>
        </w:rPr>
        <w:t xml:space="preserve"> для оценки проектов.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Вы всегда должны выбирать проект с самым высоким </w:t>
      </w:r>
      <w:r w:rsidRPr="002D0B07">
        <w:rPr>
          <w:rFonts w:ascii="Times New Roman" w:hAnsi="Times New Roman" w:cs="Times New Roman"/>
          <w:sz w:val="28"/>
          <w:szCs w:val="28"/>
          <w:lang w:val="en-US"/>
        </w:rPr>
        <w:t>NPV</w:t>
      </w:r>
      <w:r w:rsidRPr="002D0B07">
        <w:rPr>
          <w:rFonts w:ascii="Times New Roman" w:hAnsi="Times New Roman" w:cs="Times New Roman"/>
          <w:sz w:val="28"/>
          <w:szCs w:val="28"/>
        </w:rPr>
        <w:t xml:space="preserve">, не обязательно с самым высоким </w:t>
      </w:r>
      <w:r w:rsidRPr="002D0B07">
        <w:rPr>
          <w:rFonts w:ascii="Times New Roman" w:hAnsi="Times New Roman" w:cs="Times New Roman"/>
          <w:sz w:val="28"/>
          <w:szCs w:val="28"/>
          <w:lang w:val="en-US"/>
        </w:rPr>
        <w:t>IRR</w:t>
      </w:r>
      <w:r w:rsidRPr="002D0B07">
        <w:rPr>
          <w:rFonts w:ascii="Times New Roman" w:hAnsi="Times New Roman" w:cs="Times New Roman"/>
          <w:sz w:val="28"/>
          <w:szCs w:val="28"/>
        </w:rPr>
        <w:t xml:space="preserve">, потому что финансовые показатели измеряются в долларах. Если вы столкнулись с двумя проектами с одинаковыми рисками, </w:t>
      </w:r>
      <w:proofErr w:type="gramStart"/>
      <w:r w:rsidRPr="002D0B07">
        <w:rPr>
          <w:rFonts w:ascii="Times New Roman" w:hAnsi="Times New Roman" w:cs="Times New Roman"/>
          <w:sz w:val="28"/>
          <w:szCs w:val="28"/>
        </w:rPr>
        <w:t>проектом</w:t>
      </w:r>
      <w:proofErr w:type="gramEnd"/>
      <w:r w:rsidRPr="002D0B07">
        <w:rPr>
          <w:rFonts w:ascii="Times New Roman" w:hAnsi="Times New Roman" w:cs="Times New Roman"/>
          <w:sz w:val="28"/>
          <w:szCs w:val="28"/>
        </w:rPr>
        <w:t xml:space="preserve"> а с 25% </w:t>
      </w:r>
      <w:r w:rsidRPr="002D0B07">
        <w:rPr>
          <w:rFonts w:ascii="Times New Roman" w:hAnsi="Times New Roman" w:cs="Times New Roman"/>
          <w:sz w:val="28"/>
          <w:szCs w:val="28"/>
          <w:lang w:val="en-US"/>
        </w:rPr>
        <w:t>IRR</w:t>
      </w:r>
      <w:r w:rsidRPr="002D0B07">
        <w:rPr>
          <w:rFonts w:ascii="Times New Roman" w:hAnsi="Times New Roman" w:cs="Times New Roman"/>
          <w:sz w:val="28"/>
          <w:szCs w:val="28"/>
        </w:rPr>
        <w:t xml:space="preserve"> и проектом В с 50% </w:t>
      </w:r>
      <w:r w:rsidRPr="002D0B07">
        <w:rPr>
          <w:rFonts w:ascii="Times New Roman" w:hAnsi="Times New Roman" w:cs="Times New Roman"/>
          <w:sz w:val="28"/>
          <w:szCs w:val="28"/>
          <w:lang w:val="en-US"/>
        </w:rPr>
        <w:t>IRR</w:t>
      </w:r>
      <w:r w:rsidRPr="002D0B07">
        <w:rPr>
          <w:rFonts w:ascii="Times New Roman" w:hAnsi="Times New Roman" w:cs="Times New Roman"/>
          <w:sz w:val="28"/>
          <w:szCs w:val="28"/>
        </w:rPr>
        <w:t xml:space="preserve">, но проект а имеет более высокий </w:t>
      </w:r>
      <w:r w:rsidRPr="002D0B07">
        <w:rPr>
          <w:rFonts w:ascii="Times New Roman" w:hAnsi="Times New Roman" w:cs="Times New Roman"/>
          <w:sz w:val="28"/>
          <w:szCs w:val="28"/>
          <w:lang w:val="en-US"/>
        </w:rPr>
        <w:t>NPV</w:t>
      </w:r>
      <w:r w:rsidRPr="002D0B07">
        <w:rPr>
          <w:rFonts w:ascii="Times New Roman" w:hAnsi="Times New Roman" w:cs="Times New Roman"/>
          <w:sz w:val="28"/>
          <w:szCs w:val="28"/>
        </w:rPr>
        <w:t>, потому что он долгос</w:t>
      </w:r>
      <w:r w:rsidRPr="002D0B07">
        <w:rPr>
          <w:rFonts w:ascii="Times New Roman" w:hAnsi="Times New Roman" w:cs="Times New Roman"/>
          <w:sz w:val="28"/>
          <w:szCs w:val="28"/>
        </w:rPr>
        <w:t>рочный, вы бы выбрали проект 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Вторая большая проблема с </w:t>
      </w:r>
      <w:r w:rsidRPr="002D0B07">
        <w:rPr>
          <w:rFonts w:ascii="Times New Roman" w:hAnsi="Times New Roman" w:cs="Times New Roman"/>
          <w:sz w:val="28"/>
          <w:szCs w:val="28"/>
          <w:lang w:val="en-US"/>
        </w:rPr>
        <w:t>IRR</w:t>
      </w:r>
      <w:r w:rsidRPr="002D0B07">
        <w:rPr>
          <w:rFonts w:ascii="Times New Roman" w:hAnsi="Times New Roman" w:cs="Times New Roman"/>
          <w:sz w:val="28"/>
          <w:szCs w:val="28"/>
        </w:rPr>
        <w:t xml:space="preserve">-анализом заключается в том, что он предполагает, что вы можете продолжать реинвестировать любой дополнительный денежный поток при том же </w:t>
      </w:r>
      <w:r w:rsidRPr="002D0B07">
        <w:rPr>
          <w:rFonts w:ascii="Times New Roman" w:hAnsi="Times New Roman" w:cs="Times New Roman"/>
          <w:sz w:val="28"/>
          <w:szCs w:val="28"/>
          <w:lang w:val="en-US"/>
        </w:rPr>
        <w:t>IRR</w:t>
      </w:r>
      <w:r w:rsidRPr="002D0B07">
        <w:rPr>
          <w:rFonts w:ascii="Times New Roman" w:hAnsi="Times New Roman" w:cs="Times New Roman"/>
          <w:sz w:val="28"/>
          <w:szCs w:val="28"/>
        </w:rPr>
        <w:t xml:space="preserve">, что может оказаться невозможным. Более консервативным подходом является модифицированный </w:t>
      </w:r>
      <w:r w:rsidRPr="002D0B07">
        <w:rPr>
          <w:rFonts w:ascii="Times New Roman" w:hAnsi="Times New Roman" w:cs="Times New Roman"/>
          <w:sz w:val="28"/>
          <w:szCs w:val="28"/>
          <w:lang w:val="en-US"/>
        </w:rPr>
        <w:t>IRR</w:t>
      </w:r>
      <w:r w:rsidRPr="002D0B07">
        <w:rPr>
          <w:rFonts w:ascii="Times New Roman" w:hAnsi="Times New Roman" w:cs="Times New Roman"/>
          <w:sz w:val="28"/>
          <w:szCs w:val="28"/>
        </w:rPr>
        <w:t xml:space="preserve"> (</w:t>
      </w:r>
      <w:r w:rsidRPr="002D0B07">
        <w:rPr>
          <w:rFonts w:ascii="Times New Roman" w:hAnsi="Times New Roman" w:cs="Times New Roman"/>
          <w:sz w:val="28"/>
          <w:szCs w:val="28"/>
          <w:lang w:val="en-US"/>
        </w:rPr>
        <w:t>MIRR</w:t>
      </w:r>
      <w:r w:rsidRPr="002D0B07">
        <w:rPr>
          <w:rFonts w:ascii="Times New Roman" w:hAnsi="Times New Roman" w:cs="Times New Roman"/>
          <w:sz w:val="28"/>
          <w:szCs w:val="28"/>
        </w:rPr>
        <w:t>), который предполагает реинвестирование будущих денежных потоков по более низкой ставке дисконтирования.</w:t>
      </w:r>
    </w:p>
    <w:p w:rsidR="002D0B07" w:rsidRPr="002D0B07" w:rsidRDefault="002D0B07" w:rsidP="002D0B07">
      <w:pPr>
        <w:spacing w:after="0" w:line="240" w:lineRule="auto"/>
        <w:jc w:val="both"/>
        <w:rPr>
          <w:rFonts w:ascii="Times New Roman" w:hAnsi="Times New Roman" w:cs="Times New Roman"/>
          <w:sz w:val="28"/>
          <w:szCs w:val="28"/>
        </w:rPr>
      </w:pP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3. Принципы оценки эффективности инвестиционных проектов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В основу оценок эффективности ИП положены следующие основные принципы, применимые к любым типам проектов независимо от их технических, технологических, </w:t>
      </w:r>
      <w:proofErr w:type="spellStart"/>
      <w:r w:rsidRPr="002D0B07">
        <w:rPr>
          <w:rFonts w:ascii="Times New Roman" w:hAnsi="Times New Roman" w:cs="Times New Roman"/>
          <w:sz w:val="28"/>
          <w:szCs w:val="28"/>
        </w:rPr>
        <w:t>финансо</w:t>
      </w:r>
      <w:proofErr w:type="spellEnd"/>
      <w:r w:rsidRPr="002D0B07">
        <w:rPr>
          <w:rFonts w:ascii="Times New Roman" w:hAnsi="Times New Roman" w:cs="Times New Roman"/>
          <w:sz w:val="28"/>
          <w:szCs w:val="28"/>
        </w:rPr>
        <w:t>-отраслевых или региональных особенностей:</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 </w:t>
      </w:r>
      <w:r w:rsidRPr="002D0B07">
        <w:rPr>
          <w:rFonts w:ascii="Times New Roman" w:hAnsi="Times New Roman" w:cs="Times New Roman"/>
          <w:sz w:val="28"/>
          <w:szCs w:val="28"/>
        </w:rPr>
        <w:t xml:space="preserve">рассмотрение проекта на протяжении всего его жизненного цикла (расчетного периода) — от проведения </w:t>
      </w:r>
      <w:proofErr w:type="spellStart"/>
      <w:r w:rsidRPr="002D0B07">
        <w:rPr>
          <w:rFonts w:ascii="Times New Roman" w:hAnsi="Times New Roman" w:cs="Times New Roman"/>
          <w:sz w:val="28"/>
          <w:szCs w:val="28"/>
        </w:rPr>
        <w:t>прединвестиционных</w:t>
      </w:r>
      <w:proofErr w:type="spellEnd"/>
      <w:r w:rsidRPr="002D0B07">
        <w:rPr>
          <w:rFonts w:ascii="Times New Roman" w:hAnsi="Times New Roman" w:cs="Times New Roman"/>
          <w:sz w:val="28"/>
          <w:szCs w:val="28"/>
        </w:rPr>
        <w:t xml:space="preserve"> исследований до прекращения проекта;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моделирование денежных потоков, включающих все связанные с осуществлением проекта денежные поступления и расходы за расчетный период с учетом возможности использования различных валют;</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сопоставимость условий сравнения различных проектов (вариантов проекта);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принцип положительности и максимума эффекта. Для того чтобы ИП, с точки зрения инвестора, был признан эффективным, необходимо, чтобы эффект реализации порождающего его проекта был положительным; при сравнении альтернативных ИП предпочтение должно отдаваться проекту с наибольшим значением эффекта;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учет фактора времени. При оценке эффективности проекта должны учитываться различные аспекты фактора времени, в том числе динамичность (изменение во времени) параметров проекта и его экономического окружения; разрывы во времени (лаги) между производством продукции или поступлением ресурсов и их оплатой; неравноценность разновременных затрат и/или результатов (предпочтительность более ранних результатов и более поздних затрат);</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учет только предстоящих затрат и поступлений. При расчетах показателей эффективности должны учитываться только предстоящие в ходе осуществления проекта затраты и поступления, включая затраты, связанные с привлечением ранее созданных производственных фондов, а также предстоящие потери, непосредственно вызванные осуществлением проекта (например, от пре</w:t>
      </w:r>
      <w:r w:rsidRPr="002D0B07">
        <w:rPr>
          <w:rFonts w:ascii="Times New Roman" w:hAnsi="Times New Roman" w:cs="Times New Roman"/>
          <w:sz w:val="28"/>
          <w:szCs w:val="28"/>
        </w:rPr>
        <w:lastRenderedPageBreak/>
        <w:t>кращения действующего производства в связи с организацией на его месте нового). Ранее созданные ресурсы, используемые в проекте, оцениваются не затратами на их создание, а альтернативной стоимостью (</w:t>
      </w:r>
      <w:proofErr w:type="spellStart"/>
      <w:r w:rsidRPr="002D0B07">
        <w:rPr>
          <w:rFonts w:ascii="Times New Roman" w:hAnsi="Times New Roman" w:cs="Times New Roman"/>
          <w:sz w:val="28"/>
          <w:szCs w:val="28"/>
        </w:rPr>
        <w:t>opportunity</w:t>
      </w:r>
      <w:proofErr w:type="spellEnd"/>
      <w:r w:rsidRPr="002D0B07">
        <w:rPr>
          <w:rFonts w:ascii="Times New Roman" w:hAnsi="Times New Roman" w:cs="Times New Roman"/>
          <w:sz w:val="28"/>
          <w:szCs w:val="28"/>
        </w:rPr>
        <w:t xml:space="preserve"> </w:t>
      </w:r>
      <w:proofErr w:type="spellStart"/>
      <w:r w:rsidRPr="002D0B07">
        <w:rPr>
          <w:rFonts w:ascii="Times New Roman" w:hAnsi="Times New Roman" w:cs="Times New Roman"/>
          <w:sz w:val="28"/>
          <w:szCs w:val="28"/>
        </w:rPr>
        <w:t>cost</w:t>
      </w:r>
      <w:proofErr w:type="spellEnd"/>
      <w:r w:rsidRPr="002D0B07">
        <w:rPr>
          <w:rFonts w:ascii="Times New Roman" w:hAnsi="Times New Roman" w:cs="Times New Roman"/>
          <w:sz w:val="28"/>
          <w:szCs w:val="28"/>
        </w:rPr>
        <w:t xml:space="preserve">), отражающей максимальное значение упущенной выгоды, связанной с их наилучшим возможным альтернативным использованием. Прошлые, уже осуществленные затраты, не обеспечивающие возможности получения альтернативных (т.е. получаемых вне данного проекта) доходов в перспективе (невозвратные затраты, </w:t>
      </w:r>
      <w:proofErr w:type="spellStart"/>
      <w:r w:rsidRPr="002D0B07">
        <w:rPr>
          <w:rFonts w:ascii="Times New Roman" w:hAnsi="Times New Roman" w:cs="Times New Roman"/>
          <w:sz w:val="28"/>
          <w:szCs w:val="28"/>
        </w:rPr>
        <w:t>sunk</w:t>
      </w:r>
      <w:proofErr w:type="spellEnd"/>
      <w:r w:rsidRPr="002D0B07">
        <w:rPr>
          <w:rFonts w:ascii="Times New Roman" w:hAnsi="Times New Roman" w:cs="Times New Roman"/>
          <w:sz w:val="28"/>
          <w:szCs w:val="28"/>
        </w:rPr>
        <w:t xml:space="preserve"> </w:t>
      </w:r>
      <w:proofErr w:type="spellStart"/>
      <w:r w:rsidRPr="002D0B07">
        <w:rPr>
          <w:rFonts w:ascii="Times New Roman" w:hAnsi="Times New Roman" w:cs="Times New Roman"/>
          <w:sz w:val="28"/>
          <w:szCs w:val="28"/>
        </w:rPr>
        <w:t>cost</w:t>
      </w:r>
      <w:proofErr w:type="spellEnd"/>
      <w:r w:rsidRPr="002D0B07">
        <w:rPr>
          <w:rFonts w:ascii="Times New Roman" w:hAnsi="Times New Roman" w:cs="Times New Roman"/>
          <w:sz w:val="28"/>
          <w:szCs w:val="28"/>
        </w:rPr>
        <w:t xml:space="preserve">), в денежных потоках не учитываются и на значение показателей эффективности не влияют. Сказанное относится именно к оценке эффективности. В других случаях, </w:t>
      </w:r>
      <w:proofErr w:type="gramStart"/>
      <w:r w:rsidRPr="002D0B07">
        <w:rPr>
          <w:rFonts w:ascii="Times New Roman" w:hAnsi="Times New Roman" w:cs="Times New Roman"/>
          <w:sz w:val="28"/>
          <w:szCs w:val="28"/>
        </w:rPr>
        <w:t>например</w:t>
      </w:r>
      <w:proofErr w:type="gramEnd"/>
      <w:r w:rsidRPr="002D0B07">
        <w:rPr>
          <w:rFonts w:ascii="Times New Roman" w:hAnsi="Times New Roman" w:cs="Times New Roman"/>
          <w:sz w:val="28"/>
          <w:szCs w:val="28"/>
        </w:rPr>
        <w:t xml:space="preserve"> при определении доли в составе капитала, учет прошлых затрат может оказаться необходимым.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сравнение "с проектом" и "без проекта". Оценка эффективности ИП должна производиться сопоставлением ситуаций не "до проекта" и "после проекта", а "без проекта" и "с проектом";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учет всех наиболее существенных последствий проекта. При определении эффективности ИП должны учитываться все последствия его реализации, как непосредственно экономические, так и внеэкономические (внешние эффекты, общественные блага). В тех случаях, когда их влияние на эффективность допускает количественную оценку, ее следует произвести. В других случаях учет этого влияния должен осуществляться экспертно;</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учет наличия разных участников проекта, несовпадения их интересов и различных оценок стоимости капитала, выражающихся в индивидуальных значениях нормы дисконта;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многоэтапность оценки. На различных стадиях разработки и осуществления проекта (обоснование инвестиций, ТЭО, выбор схемы финансирования, экономический мониторинг) его эффективность определяется заново, с различной глубиной проработки;</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учет влияния на эффективность ИП потребности в оборотном капитале, необходимом для функционирования создаваемых в ходе реализации проекта производственных фондов; (Вопросы влияния потребности в оборотном капитале на показатели эффективности ранее в проектной документации не прорабатывались. В то же время оборотный капитал может существенно влиять на эффективность инвестиционных проектов, особенно при наличии инфляции. Поэтому Рекомендации уделяют большое внимание расчетам потребности в оборотных средствах)</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учет влияния инфляции (учет изменения цен на различные виды продукции и ресурсов в период реализации проекта) и возможности использования при реализации проекта нескольких валют;</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учет (в количественной форме) влияния неопределенностей и рисков, сопровождающих реализацию проекта.</w:t>
      </w:r>
    </w:p>
    <w:p w:rsidR="002D0B07" w:rsidRPr="002D0B07" w:rsidRDefault="002D0B07" w:rsidP="002D0B07">
      <w:pPr>
        <w:spacing w:after="0" w:line="240" w:lineRule="auto"/>
        <w:jc w:val="both"/>
        <w:rPr>
          <w:rFonts w:ascii="Times New Roman" w:hAnsi="Times New Roman" w:cs="Times New Roman"/>
          <w:sz w:val="28"/>
          <w:szCs w:val="28"/>
        </w:rPr>
      </w:pP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4. Дисконтирование и наращение капитала. Учет фактора времени в инвестиционных расчетах.</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В финансовом менеджменте учет фактора времени осуществляется с помощью методов наращения и дисконтирования, в основу которых положена техника </w:t>
      </w:r>
      <w:r w:rsidRPr="002D0B07">
        <w:rPr>
          <w:rFonts w:ascii="Times New Roman" w:hAnsi="Times New Roman" w:cs="Times New Roman"/>
          <w:sz w:val="28"/>
          <w:szCs w:val="28"/>
        </w:rPr>
        <w:lastRenderedPageBreak/>
        <w:t>процентных вычислений. Методы наращения и дисконтирования играют важную роль в финансовом анализе, так как являются инструментарием для оценки потоков платежей</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С помощью этих методов осуществляется приведение денежных сумм, относящихся к различным временным периодам, к требуемому моменту времени в настоящем или будущем. При этом в качестве нормы приведения используется процентная ставка (r).</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В узком смысле процентная ставка представляет собой цену, уплачиваемую за использование заемных денежных средств. Однако в финансовом менеджменте ее также часто используют в качестве измерителя уровня (нормы) доходности производимых операций, исчисляемого как отношение </w:t>
      </w:r>
      <w:proofErr w:type="gramStart"/>
      <w:r w:rsidRPr="002D0B07">
        <w:rPr>
          <w:rFonts w:ascii="Times New Roman" w:hAnsi="Times New Roman" w:cs="Times New Roman"/>
          <w:sz w:val="28"/>
          <w:szCs w:val="28"/>
        </w:rPr>
        <w:t>полученной</w:t>
      </w:r>
      <w:proofErr w:type="gramEnd"/>
      <w:r w:rsidRPr="002D0B07">
        <w:rPr>
          <w:rFonts w:ascii="Times New Roman" w:hAnsi="Times New Roman" w:cs="Times New Roman"/>
          <w:sz w:val="28"/>
          <w:szCs w:val="28"/>
        </w:rPr>
        <w:t xml:space="preserve"> прибыли к величине вложенных средств и выражаемого в долях единицы (десятичной дробью), либо в процентах.</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Под наращением понимают процесс увеличения первоначальной суммы в результате начисления процентов.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Экономический смысл метода наращения состоит в определении величины, которая будет или может быть получена из некоторой первоначальной (текущей) суммы в результате проведения операции. Другими словами, метод наращения позволяет определить будущую величину (FV) текущей величины (PV) через некоторый промежуток времени, исходя из заданной процентной ставки r.</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Дисконтирование представляет собой процесс нахождения величины на заданный момент времени по ее известному или предполагаемому значению в будущем.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В экономическом смысле величина PV, найденная в процессе дисконтирования, показывает современное (с позиции текущего момента времени) значение будущей величины FV.</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Нетрудно заметить, что дисконтирование, по сути, является зеркальным отражением наращения. Используемую при этом процентную ставку </w:t>
      </w:r>
      <w:proofErr w:type="spellStart"/>
      <w:r w:rsidRPr="002D0B07">
        <w:rPr>
          <w:rFonts w:ascii="Times New Roman" w:hAnsi="Times New Roman" w:cs="Times New Roman"/>
          <w:sz w:val="28"/>
          <w:szCs w:val="28"/>
        </w:rPr>
        <w:t>rназывают</w:t>
      </w:r>
      <w:proofErr w:type="spellEnd"/>
      <w:r w:rsidRPr="002D0B07">
        <w:rPr>
          <w:rFonts w:ascii="Times New Roman" w:hAnsi="Times New Roman" w:cs="Times New Roman"/>
          <w:sz w:val="28"/>
          <w:szCs w:val="28"/>
        </w:rPr>
        <w:t xml:space="preserve"> нормой дисконта.</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В зависимости от условий проведения финансовых операций, как наращение, так и дисконтирование, могут осуществляться с применением простых, сложных либо непрерывных процентов.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Как правило, простые проценты используются в краткосрочных финансовых операциях, срок проведения которых меньше года. Базой для исчисления процентов за каждый период в этом случае является первоначальная (исходная) сумма сделки.</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В общем случае, наращение и дисконтирование по ставке простых процентов осуществляют по следующим формулам: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FV = </w:t>
      </w:r>
      <w:proofErr w:type="gramStart"/>
      <w:r w:rsidRPr="002D0B07">
        <w:rPr>
          <w:rFonts w:ascii="Times New Roman" w:hAnsi="Times New Roman" w:cs="Times New Roman"/>
          <w:sz w:val="28"/>
          <w:szCs w:val="28"/>
        </w:rPr>
        <w:t>PV(</w:t>
      </w:r>
      <w:proofErr w:type="gramEnd"/>
      <w:r w:rsidRPr="002D0B07">
        <w:rPr>
          <w:rFonts w:ascii="Times New Roman" w:hAnsi="Times New Roman" w:cs="Times New Roman"/>
          <w:sz w:val="28"/>
          <w:szCs w:val="28"/>
        </w:rPr>
        <w:t>1 + r х n), (1.1)</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PV = FV</w:t>
      </w:r>
      <w:proofErr w:type="gramStart"/>
      <w:r w:rsidRPr="002D0B07">
        <w:rPr>
          <w:rFonts w:ascii="Times New Roman" w:hAnsi="Times New Roman" w:cs="Times New Roman"/>
          <w:sz w:val="28"/>
          <w:szCs w:val="28"/>
        </w:rPr>
        <w:t>/(</w:t>
      </w:r>
      <w:proofErr w:type="gramEnd"/>
      <w:r w:rsidRPr="002D0B07">
        <w:rPr>
          <w:rFonts w:ascii="Times New Roman" w:hAnsi="Times New Roman" w:cs="Times New Roman"/>
          <w:sz w:val="28"/>
          <w:szCs w:val="28"/>
        </w:rPr>
        <w:t>1 + r х n), (1.2)</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Где,</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FV- будущая стоимость;</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PV- текущая стоимость</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n - число периодов;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lastRenderedPageBreak/>
        <w:t>r –ставка процентов.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Сложные проценты широко применяются в долгосрочных финансовых операциях, со сроком проведения более одного года. Вместе с тем они могут использоваться и в краткосрочных финансовых операциях, если это предусмотрено условиями сделки, либо вызвано объективной необходимостью (например, высоким уровнем инфляции, риска и т.д.). При этом база для исчисления процентов за период включает в себя как исходную сумму сделки, так и сумму уже накопленных к этому времени процентов.</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Непрерывные проценты представляют главным образом теоретический интерес и редко используются на практике. Они применяются в особых случаях, когда вычисления необходимо производить за бесконечно малые промежутки времени.</w:t>
      </w:r>
    </w:p>
    <w:p w:rsidR="002D0B07" w:rsidRPr="002D0B07" w:rsidRDefault="002D0B07" w:rsidP="002D0B07">
      <w:pPr>
        <w:spacing w:after="0" w:line="240" w:lineRule="auto"/>
        <w:jc w:val="both"/>
        <w:rPr>
          <w:rFonts w:ascii="Times New Roman" w:hAnsi="Times New Roman" w:cs="Times New Roman"/>
          <w:sz w:val="28"/>
          <w:szCs w:val="28"/>
        </w:rPr>
      </w:pPr>
    </w:p>
    <w:p w:rsidR="000027D8"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5. Безубыточность производства</w:t>
      </w:r>
    </w:p>
    <w:p w:rsidR="002D0B07" w:rsidRPr="002D0B07" w:rsidRDefault="002D0B07" w:rsidP="002D0B07">
      <w:pPr>
        <w:spacing w:after="0" w:line="240" w:lineRule="auto"/>
        <w:jc w:val="both"/>
        <w:rPr>
          <w:rFonts w:ascii="Times New Roman" w:hAnsi="Times New Roman" w:cs="Times New Roman"/>
          <w:sz w:val="28"/>
          <w:szCs w:val="28"/>
        </w:rPr>
      </w:pPr>
      <w:bookmarkStart w:id="0" w:name="_GoBack"/>
      <w:r w:rsidRPr="002D0B07">
        <w:rPr>
          <w:rFonts w:ascii="Times New Roman" w:hAnsi="Times New Roman" w:cs="Times New Roman"/>
          <w:sz w:val="28"/>
          <w:szCs w:val="28"/>
        </w:rPr>
        <w:t xml:space="preserve">В бухгалтерском учете формула точки безубыточности определяется путем деления общих постоянных затрат, связанных с производством, на выручку на единицу продукции за вычетом переменных затрат на единицу продукции. В этом случае постоянные затраты относятся к тем, которые не изменяются в зависимости от количества проданных единиц. Иными словами, </w:t>
      </w:r>
      <w:proofErr w:type="gramStart"/>
      <w:r w:rsidRPr="002D0B07">
        <w:rPr>
          <w:rFonts w:ascii="Times New Roman" w:hAnsi="Times New Roman" w:cs="Times New Roman"/>
          <w:sz w:val="28"/>
          <w:szCs w:val="28"/>
        </w:rPr>
        <w:t>точка безубыточности-это</w:t>
      </w:r>
      <w:proofErr w:type="gramEnd"/>
      <w:r w:rsidRPr="002D0B07">
        <w:rPr>
          <w:rFonts w:ascii="Times New Roman" w:hAnsi="Times New Roman" w:cs="Times New Roman"/>
          <w:sz w:val="28"/>
          <w:szCs w:val="28"/>
        </w:rPr>
        <w:t xml:space="preserve"> уровень производства, при котором общие доходы по продукту равны общим расходам.</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Этот термин также используется в инвестировании. Формула точки безубыточности для торговли акциями или фьючерсами определяется путем сравнения рыночной цены актива с первоначальной стоимостью; </w:t>
      </w:r>
      <w:proofErr w:type="gramStart"/>
      <w:r w:rsidRPr="002D0B07">
        <w:rPr>
          <w:rFonts w:ascii="Times New Roman" w:hAnsi="Times New Roman" w:cs="Times New Roman"/>
          <w:sz w:val="28"/>
          <w:szCs w:val="28"/>
        </w:rPr>
        <w:t>точка безубыточности-это</w:t>
      </w:r>
      <w:proofErr w:type="gramEnd"/>
      <w:r w:rsidRPr="002D0B07">
        <w:rPr>
          <w:rFonts w:ascii="Times New Roman" w:hAnsi="Times New Roman" w:cs="Times New Roman"/>
          <w:sz w:val="28"/>
          <w:szCs w:val="28"/>
        </w:rPr>
        <w:t xml:space="preserve"> когда две цены равны. Для торговли опционами </w:t>
      </w:r>
      <w:proofErr w:type="gramStart"/>
      <w:r w:rsidRPr="002D0B07">
        <w:rPr>
          <w:rFonts w:ascii="Times New Roman" w:hAnsi="Times New Roman" w:cs="Times New Roman"/>
          <w:sz w:val="28"/>
          <w:szCs w:val="28"/>
        </w:rPr>
        <w:t>точка безубыточности-это</w:t>
      </w:r>
      <w:proofErr w:type="gramEnd"/>
      <w:r w:rsidRPr="002D0B07">
        <w:rPr>
          <w:rFonts w:ascii="Times New Roman" w:hAnsi="Times New Roman" w:cs="Times New Roman"/>
          <w:sz w:val="28"/>
          <w:szCs w:val="28"/>
        </w:rPr>
        <w:t xml:space="preserve"> рыночная цена, которую базовый актив должен достичь для покупателя опциона, чтобы избежать убытка, если он реализует опцион. Для покупателя </w:t>
      </w:r>
      <w:proofErr w:type="spellStart"/>
      <w:r w:rsidRPr="002D0B07">
        <w:rPr>
          <w:rFonts w:ascii="Times New Roman" w:hAnsi="Times New Roman" w:cs="Times New Roman"/>
          <w:sz w:val="28"/>
          <w:szCs w:val="28"/>
        </w:rPr>
        <w:t>call</w:t>
      </w:r>
      <w:proofErr w:type="spellEnd"/>
      <w:r w:rsidRPr="002D0B07">
        <w:rPr>
          <w:rFonts w:ascii="Times New Roman" w:hAnsi="Times New Roman" w:cs="Times New Roman"/>
          <w:sz w:val="28"/>
          <w:szCs w:val="28"/>
        </w:rPr>
        <w:t xml:space="preserve"> </w:t>
      </w:r>
      <w:proofErr w:type="gramStart"/>
      <w:r w:rsidRPr="002D0B07">
        <w:rPr>
          <w:rFonts w:ascii="Times New Roman" w:hAnsi="Times New Roman" w:cs="Times New Roman"/>
          <w:sz w:val="28"/>
          <w:szCs w:val="28"/>
        </w:rPr>
        <w:t>точка безубыточности-это</w:t>
      </w:r>
      <w:proofErr w:type="gramEnd"/>
      <w:r w:rsidRPr="002D0B07">
        <w:rPr>
          <w:rFonts w:ascii="Times New Roman" w:hAnsi="Times New Roman" w:cs="Times New Roman"/>
          <w:sz w:val="28"/>
          <w:szCs w:val="28"/>
        </w:rPr>
        <w:t xml:space="preserve"> когда базовый уровень равен цене исполнения плюс уплаченная премия, а BEP для позиции </w:t>
      </w:r>
      <w:proofErr w:type="spellStart"/>
      <w:r w:rsidRPr="002D0B07">
        <w:rPr>
          <w:rFonts w:ascii="Times New Roman" w:hAnsi="Times New Roman" w:cs="Times New Roman"/>
          <w:sz w:val="28"/>
          <w:szCs w:val="28"/>
        </w:rPr>
        <w:t>put</w:t>
      </w:r>
      <w:proofErr w:type="spellEnd"/>
      <w:r w:rsidRPr="002D0B07">
        <w:rPr>
          <w:rFonts w:ascii="Times New Roman" w:hAnsi="Times New Roman" w:cs="Times New Roman"/>
          <w:sz w:val="28"/>
          <w:szCs w:val="28"/>
        </w:rPr>
        <w:t>-когда базовый уровень равен цене исполнения минус уплаченная премия. Точка безубыточности обычно не учитывает комиссионные расходы, хотя при желании эти сборы могут быть включены.</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Анализ безубыточности полезен при определении уровня производства или целевого желаемого объема продаж. Это исследование предназначено только для руководства, поскольку Метрика и расчеты не требуются для внешних источников, таких как инвесторы, регуляторы или финансовые учреждения. Этот тип анализа зависит от расчета точки безубыточности (BEP). Точка безубыточности рассчитывается путем деления общих постоянных издержек производства на цену продукта на единицу продукции за вычетом переменных издержек производства. Постоянные затраты-это те, которые остаются неизменными независимо от того, сколько единиц продано.</w:t>
      </w:r>
    </w:p>
    <w:p w:rsidR="002D0B07" w:rsidRPr="002D0B07" w:rsidRDefault="002D0B07" w:rsidP="002D0B07">
      <w:pPr>
        <w:spacing w:after="0" w:line="240" w:lineRule="auto"/>
        <w:jc w:val="both"/>
        <w:rPr>
          <w:rFonts w:ascii="Times New Roman" w:hAnsi="Times New Roman" w:cs="Times New Roman"/>
          <w:sz w:val="28"/>
          <w:szCs w:val="28"/>
        </w:rPr>
      </w:pPr>
      <w:r w:rsidRPr="002D0B07">
        <w:rPr>
          <w:rFonts w:ascii="Times New Roman" w:hAnsi="Times New Roman" w:cs="Times New Roman"/>
          <w:sz w:val="28"/>
          <w:szCs w:val="28"/>
        </w:rPr>
        <w:t xml:space="preserve">Анализ безубыточности рассматривает уровень постоянных затрат по отношению к прибыли, полученной от каждой дополнительной единицы произведенной и проданной. В целом, компания с более низкими постоянными издержками будет иметь более низкую точку безубыточности продаж. Например, </w:t>
      </w:r>
      <w:r w:rsidRPr="002D0B07">
        <w:rPr>
          <w:rFonts w:ascii="Times New Roman" w:hAnsi="Times New Roman" w:cs="Times New Roman"/>
          <w:sz w:val="28"/>
          <w:szCs w:val="28"/>
        </w:rPr>
        <w:lastRenderedPageBreak/>
        <w:t xml:space="preserve">компания с фиксированными затратами в размере $0 автоматически будет безубыточна при продаже первого продукта, если переменные затраты не превышают выручку от продаж. Однако накопление переменных издержек будет ограничивать </w:t>
      </w:r>
      <w:proofErr w:type="spellStart"/>
      <w:r w:rsidRPr="002D0B07">
        <w:rPr>
          <w:rFonts w:ascii="Times New Roman" w:hAnsi="Times New Roman" w:cs="Times New Roman"/>
          <w:sz w:val="28"/>
          <w:szCs w:val="28"/>
        </w:rPr>
        <w:t>леверидж</w:t>
      </w:r>
      <w:proofErr w:type="spellEnd"/>
      <w:r w:rsidRPr="002D0B07">
        <w:rPr>
          <w:rFonts w:ascii="Times New Roman" w:hAnsi="Times New Roman" w:cs="Times New Roman"/>
          <w:sz w:val="28"/>
          <w:szCs w:val="28"/>
        </w:rPr>
        <w:t xml:space="preserve"> компании, так как эти расходы происходят от каждого проданного товара.</w:t>
      </w:r>
      <w:bookmarkEnd w:id="0"/>
    </w:p>
    <w:sectPr w:rsidR="002D0B07" w:rsidRPr="002D0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3E"/>
    <w:rsid w:val="000027D8"/>
    <w:rsid w:val="002D0B07"/>
    <w:rsid w:val="00BD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3704"/>
  <w15:chartTrackingRefBased/>
  <w15:docId w15:val="{52537A60-F752-40E5-A987-D6AB19A8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rd">
    <w:name w:val="mord"/>
    <w:basedOn w:val="a0"/>
    <w:rsid w:val="002D0B07"/>
  </w:style>
  <w:style w:type="character" w:customStyle="1" w:styleId="mrel">
    <w:name w:val="mrel"/>
    <w:basedOn w:val="a0"/>
    <w:rsid w:val="002D0B07"/>
  </w:style>
  <w:style w:type="character" w:customStyle="1" w:styleId="mop">
    <w:name w:val="mop"/>
    <w:basedOn w:val="a0"/>
    <w:rsid w:val="002D0B07"/>
  </w:style>
  <w:style w:type="character" w:customStyle="1" w:styleId="vlist-s">
    <w:name w:val="vlist-s"/>
    <w:basedOn w:val="a0"/>
    <w:rsid w:val="002D0B07"/>
  </w:style>
  <w:style w:type="character" w:customStyle="1" w:styleId="mopen">
    <w:name w:val="mopen"/>
    <w:basedOn w:val="a0"/>
    <w:rsid w:val="002D0B07"/>
  </w:style>
  <w:style w:type="character" w:customStyle="1" w:styleId="mbin">
    <w:name w:val="mbin"/>
    <w:basedOn w:val="a0"/>
    <w:rsid w:val="002D0B07"/>
  </w:style>
  <w:style w:type="character" w:customStyle="1" w:styleId="mclose">
    <w:name w:val="mclose"/>
    <w:basedOn w:val="a0"/>
    <w:rsid w:val="002D0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2300</Words>
  <Characters>13110</Characters>
  <Application>Microsoft Office Word</Application>
  <DocSecurity>0</DocSecurity>
  <Lines>109</Lines>
  <Paragraphs>30</Paragraphs>
  <ScaleCrop>false</ScaleCrop>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2020-10-01T05:56:00Z</dcterms:created>
  <dcterms:modified xsi:type="dcterms:W3CDTF">2020-10-01T06:08:00Z</dcterms:modified>
</cp:coreProperties>
</file>